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FC" w:rsidRDefault="003D1CCC" w:rsidP="003D1CCC">
      <w:pPr>
        <w:pStyle w:val="2"/>
        <w:spacing w:line="240" w:lineRule="auto"/>
        <w:ind w:left="1080"/>
        <w:contextualSpacing/>
        <w:jc w:val="right"/>
        <w:rPr>
          <w:rFonts w:ascii="Sylfaen" w:hAnsi="Sylfaen" w:cs="ArTarumianMatenagir"/>
          <w:color w:val="auto"/>
          <w:sz w:val="24"/>
          <w:szCs w:val="24"/>
          <w:lang w:val="af-ZA"/>
        </w:rPr>
      </w:pPr>
      <w:r w:rsidRPr="003D1CCC">
        <w:rPr>
          <w:rFonts w:ascii="Sylfaen" w:hAnsi="Sylfaen" w:cs="ArTarumianMatenagir"/>
          <w:color w:val="auto"/>
          <w:sz w:val="24"/>
          <w:szCs w:val="24"/>
          <w:lang w:val="af-ZA"/>
        </w:rPr>
        <w:t>Հավելված 2</w:t>
      </w:r>
    </w:p>
    <w:p w:rsidR="00CE5476" w:rsidRDefault="00CE5476" w:rsidP="00CE5476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Հայաստանի Հանրապետության</w:t>
      </w:r>
    </w:p>
    <w:p w:rsidR="00CE5476" w:rsidRDefault="00CE5476" w:rsidP="00CE5476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Շիրակի մարզի Գյումրի համայնքի </w:t>
      </w:r>
    </w:p>
    <w:p w:rsidR="00CE5476" w:rsidRDefault="00CE5476" w:rsidP="00CE5476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ավագանու 2022 թվականի</w:t>
      </w:r>
    </w:p>
    <w:p w:rsidR="00CE5476" w:rsidRDefault="00CE5476" w:rsidP="00CE5476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սեպտեմբերի </w:t>
      </w:r>
    </w:p>
    <w:p w:rsidR="00CE5476" w:rsidRPr="0078165B" w:rsidRDefault="00CE5476" w:rsidP="00CE5476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N                    որոշման</w:t>
      </w:r>
    </w:p>
    <w:p w:rsidR="00CE5476" w:rsidRPr="00CE5476" w:rsidRDefault="00CE5476" w:rsidP="00CE5476">
      <w:pPr>
        <w:rPr>
          <w:lang w:val="af-ZA"/>
        </w:rPr>
      </w:pPr>
    </w:p>
    <w:p w:rsidR="005153FC" w:rsidRPr="00BD4954" w:rsidRDefault="005153FC" w:rsidP="005153FC">
      <w:pPr>
        <w:spacing w:line="240" w:lineRule="auto"/>
        <w:contextualSpacing/>
        <w:jc w:val="center"/>
        <w:rPr>
          <w:rFonts w:ascii="Sylfaen" w:hAnsi="Sylfaen"/>
          <w:b/>
          <w:sz w:val="24"/>
          <w:szCs w:val="24"/>
          <w:lang w:val="af-ZA"/>
        </w:rPr>
      </w:pPr>
      <w:r w:rsidRPr="00BD4954">
        <w:rPr>
          <w:rFonts w:ascii="Sylfaen" w:hAnsi="Sylfaen" w:cs="ArTarumianMatenagir"/>
          <w:b/>
          <w:bCs/>
          <w:i/>
          <w:sz w:val="24"/>
          <w:szCs w:val="24"/>
          <w:lang w:val="af-ZA"/>
        </w:rPr>
        <w:t>«</w:t>
      </w:r>
      <w:r w:rsidRPr="00BD4954">
        <w:rPr>
          <w:rFonts w:ascii="Sylfaen" w:hAnsi="Sylfaen"/>
          <w:lang w:val="hy-AM"/>
        </w:rPr>
        <w:t xml:space="preserve"> </w:t>
      </w:r>
      <w:r w:rsidRPr="00BD4954">
        <w:rPr>
          <w:rFonts w:ascii="Sylfaen" w:hAnsi="Sylfaen"/>
          <w:b/>
          <w:sz w:val="24"/>
          <w:szCs w:val="24"/>
          <w:lang w:val="hy-AM"/>
        </w:rPr>
        <w:t>Մատչելի նախադպրոցական ուսումնական հաստատություններ համայնքի բոլոր երեխաների համար</w:t>
      </w:r>
      <w:r w:rsidRPr="00BD4954">
        <w:rPr>
          <w:rFonts w:ascii="Sylfaen" w:hAnsi="Sylfaen" w:cs="ArTarumianMatenagir"/>
          <w:b/>
          <w:bCs/>
          <w:i/>
          <w:sz w:val="24"/>
          <w:szCs w:val="24"/>
          <w:lang w:val="af-ZA"/>
        </w:rPr>
        <w:t>»</w:t>
      </w:r>
    </w:p>
    <w:p w:rsidR="005153FC" w:rsidRPr="00BD4954" w:rsidRDefault="005153FC" w:rsidP="005153FC">
      <w:pPr>
        <w:spacing w:line="240" w:lineRule="auto"/>
        <w:contextualSpacing/>
        <w:jc w:val="center"/>
        <w:rPr>
          <w:rFonts w:ascii="Sylfaen" w:hAnsi="Sylfaen"/>
          <w:vertAlign w:val="superscript"/>
          <w:lang w:val="af-ZA"/>
        </w:rPr>
      </w:pPr>
      <w:r w:rsidRPr="00BD4954">
        <w:rPr>
          <w:rFonts w:ascii="Sylfaen" w:hAnsi="Sylfaen"/>
          <w:vertAlign w:val="superscript"/>
          <w:lang w:val="af-ZA"/>
        </w:rPr>
        <w:t>(Ծրագրի</w:t>
      </w:r>
      <w:r w:rsidRPr="00BD4954">
        <w:rPr>
          <w:rFonts w:ascii="Sylfaen" w:hAnsi="Sylfaen"/>
          <w:b/>
          <w:vertAlign w:val="superscript"/>
          <w:lang w:val="af-ZA"/>
        </w:rPr>
        <w:t xml:space="preserve"> </w:t>
      </w:r>
      <w:r w:rsidRPr="00BD4954">
        <w:rPr>
          <w:rFonts w:ascii="Sylfaen" w:hAnsi="Sylfaen"/>
          <w:vertAlign w:val="superscript"/>
          <w:lang w:val="af-ZA"/>
        </w:rPr>
        <w:t>անվանում)</w:t>
      </w:r>
      <w:r w:rsidRPr="00BD4954">
        <w:rPr>
          <w:rFonts w:ascii="Sylfaen" w:hAnsi="Sylfaen" w:cs="ArTarumianMatenagir"/>
          <w:bCs/>
          <w:lang w:val="af-ZA"/>
        </w:rPr>
        <w:t xml:space="preserve"> </w:t>
      </w:r>
    </w:p>
    <w:p w:rsidR="005153FC" w:rsidRPr="00BD4954" w:rsidRDefault="005153FC" w:rsidP="005153FC">
      <w:pPr>
        <w:spacing w:line="240" w:lineRule="auto"/>
        <w:contextualSpacing/>
        <w:jc w:val="center"/>
        <w:rPr>
          <w:rFonts w:ascii="Sylfaen" w:hAnsi="Sylfaen"/>
          <w:sz w:val="24"/>
          <w:szCs w:val="24"/>
          <w:lang w:val="af-ZA"/>
        </w:rPr>
      </w:pPr>
    </w:p>
    <w:tbl>
      <w:tblPr>
        <w:tblW w:w="104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4"/>
        <w:gridCol w:w="526"/>
        <w:gridCol w:w="1641"/>
        <w:gridCol w:w="1695"/>
        <w:gridCol w:w="775"/>
        <w:gridCol w:w="794"/>
        <w:gridCol w:w="808"/>
        <w:gridCol w:w="822"/>
        <w:gridCol w:w="911"/>
      </w:tblGrid>
      <w:tr w:rsidR="005153FC" w:rsidRPr="003D1CCC" w:rsidTr="0086490E">
        <w:tc>
          <w:tcPr>
            <w:tcW w:w="2454" w:type="dxa"/>
            <w:tcBorders>
              <w:right w:val="nil"/>
            </w:tcBorders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Պարտադիր խնդիր, որի լուծմանն է միտված ծրագիրը</w:t>
            </w:r>
          </w:p>
        </w:tc>
        <w:tc>
          <w:tcPr>
            <w:tcW w:w="526" w:type="dxa"/>
            <w:tcBorders>
              <w:right w:val="nil"/>
            </w:tcBorders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7446" w:type="dxa"/>
            <w:gridSpan w:val="7"/>
            <w:tcBorders>
              <w:left w:val="nil"/>
            </w:tcBorders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Հ</w:t>
            </w: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ամայնքի բնակչության սոցիալական պաշտպանությունը</w:t>
            </w:r>
          </w:p>
        </w:tc>
      </w:tr>
      <w:tr w:rsidR="005153FC" w:rsidRPr="00CE5476" w:rsidTr="0086490E">
        <w:tc>
          <w:tcPr>
            <w:tcW w:w="2454" w:type="dxa"/>
            <w:vMerge w:val="restart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Ծրագրի անմիջական նպատակ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contextualSpacing/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Նպաստել  Գյումրի համայնքի 0-6 տարեկան  երեխաների սոցիալականացմանը նախադպրոցական կրթության  հասանելիությանն ու մատչելիությանը՝ խթանելով ծնողների զբաղվածությունը: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 w:val="restart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Ծառայությունից օգտվող շահառուների թիվ</w:t>
            </w: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11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2100</w:t>
            </w:r>
          </w:p>
        </w:tc>
        <w:tc>
          <w:tcPr>
            <w:tcW w:w="775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</w:rPr>
            </w:pPr>
            <w:r w:rsidRPr="003D1CCC">
              <w:rPr>
                <w:rFonts w:ascii="Sylfaen" w:hAnsi="Sylfaen"/>
                <w:sz w:val="24"/>
                <w:szCs w:val="24"/>
              </w:rPr>
              <w:t>90</w:t>
            </w:r>
          </w:p>
        </w:tc>
        <w:tc>
          <w:tcPr>
            <w:tcW w:w="79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</w:rPr>
            </w:pPr>
            <w:r w:rsidRPr="003D1CCC">
              <w:rPr>
                <w:rFonts w:ascii="Sylfaen" w:hAnsi="Sylfaen"/>
                <w:sz w:val="24"/>
                <w:szCs w:val="24"/>
              </w:rPr>
              <w:t>90</w:t>
            </w:r>
          </w:p>
        </w:tc>
        <w:tc>
          <w:tcPr>
            <w:tcW w:w="808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</w:rPr>
              <w:t>90</w:t>
            </w:r>
          </w:p>
        </w:tc>
        <w:tc>
          <w:tcPr>
            <w:tcW w:w="822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</w:rPr>
            </w:pPr>
            <w:r w:rsidRPr="003D1CCC">
              <w:rPr>
                <w:rFonts w:ascii="Sylfaen" w:hAnsi="Sylfaen"/>
                <w:sz w:val="24"/>
                <w:szCs w:val="24"/>
              </w:rPr>
              <w:t>90</w:t>
            </w:r>
          </w:p>
        </w:tc>
        <w:tc>
          <w:tcPr>
            <w:tcW w:w="911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90</w:t>
            </w:r>
          </w:p>
        </w:tc>
      </w:tr>
      <w:tr w:rsidR="005153FC" w:rsidRPr="003D1CCC" w:rsidTr="0086490E">
        <w:tc>
          <w:tcPr>
            <w:tcW w:w="2454" w:type="dxa"/>
            <w:vMerge w:val="restart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Ծրագրի միջանկյալ արդյունքներ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Ծառայություններից օգտվող երեխաներ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 w:val="restart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 xml:space="preserve">Ծառայության ծածկույթը  </w:t>
            </w: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 w:rsidRPr="003D1CCC">
              <w:rPr>
                <w:rFonts w:ascii="Sylfaen" w:hAnsi="Sylfaen"/>
                <w:sz w:val="24"/>
                <w:szCs w:val="24"/>
                <w:lang w:val="ru-RU"/>
              </w:rPr>
              <w:t>27%</w:t>
            </w:r>
          </w:p>
        </w:tc>
        <w:tc>
          <w:tcPr>
            <w:tcW w:w="77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 w:rsidRPr="003D1CCC">
              <w:rPr>
                <w:rFonts w:ascii="Sylfaen" w:hAnsi="Sylfaen"/>
                <w:sz w:val="24"/>
                <w:szCs w:val="24"/>
                <w:lang w:val="ru-RU"/>
              </w:rPr>
              <w:t>50%</w:t>
            </w:r>
          </w:p>
        </w:tc>
        <w:tc>
          <w:tcPr>
            <w:tcW w:w="794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 w:rsidRPr="003D1CCC">
              <w:rPr>
                <w:rFonts w:ascii="Sylfaen" w:hAnsi="Sylfaen"/>
                <w:sz w:val="24"/>
                <w:szCs w:val="24"/>
                <w:lang w:val="ru-RU"/>
              </w:rPr>
              <w:t>50%</w:t>
            </w:r>
          </w:p>
        </w:tc>
        <w:tc>
          <w:tcPr>
            <w:tcW w:w="808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ru-RU"/>
              </w:rPr>
              <w:t>55%</w:t>
            </w:r>
          </w:p>
        </w:tc>
        <w:tc>
          <w:tcPr>
            <w:tcW w:w="822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</w:rPr>
            </w:pPr>
            <w:r w:rsidRPr="003D1CCC">
              <w:rPr>
                <w:rFonts w:ascii="Sylfaen" w:hAnsi="Sylfaen"/>
                <w:sz w:val="24"/>
                <w:szCs w:val="24"/>
                <w:lang w:val="ru-RU"/>
              </w:rPr>
              <w:t>80</w:t>
            </w:r>
            <w:r w:rsidRPr="003D1CCC">
              <w:rPr>
                <w:rFonts w:ascii="Sylfaen" w:hAnsi="Sylfaen"/>
                <w:sz w:val="24"/>
                <w:szCs w:val="24"/>
              </w:rPr>
              <w:t>%</w:t>
            </w:r>
          </w:p>
        </w:tc>
        <w:tc>
          <w:tcPr>
            <w:tcW w:w="911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</w:rPr>
            </w:pPr>
            <w:r w:rsidRPr="003D1CCC">
              <w:rPr>
                <w:rFonts w:ascii="Sylfaen" w:hAnsi="Sylfaen"/>
                <w:sz w:val="24"/>
                <w:szCs w:val="24"/>
              </w:rPr>
              <w:t>80%</w:t>
            </w:r>
          </w:p>
        </w:tc>
      </w:tr>
      <w:tr w:rsidR="005153FC" w:rsidRPr="00CE5476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Հարմարեցված խմբեր (երկարօրյա) աշխատող ծնողների համար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 w:val="restart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Խմբերի թիվը</w:t>
            </w: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5153FC" w:rsidRPr="003D1CCC" w:rsidTr="0086490E">
        <w:tc>
          <w:tcPr>
            <w:tcW w:w="2454" w:type="dxa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-</w:t>
            </w:r>
          </w:p>
        </w:tc>
        <w:tc>
          <w:tcPr>
            <w:tcW w:w="775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</w:rPr>
            </w:pPr>
            <w:r w:rsidRPr="003D1CCC">
              <w:rPr>
                <w:rFonts w:ascii="Sylfaen" w:hAnsi="Sylfaen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08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911" w:type="dxa"/>
            <w:shd w:val="clear" w:color="auto" w:fill="auto"/>
          </w:tcPr>
          <w:p w:rsidR="005153FC" w:rsidRPr="003D1CCC" w:rsidRDefault="005153FC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 w:val="24"/>
                <w:szCs w:val="24"/>
                <w:lang w:val="hy-AM"/>
              </w:rPr>
              <w:t>7</w:t>
            </w:r>
          </w:p>
        </w:tc>
      </w:tr>
      <w:tr w:rsidR="005153FC" w:rsidRPr="00CE5476" w:rsidTr="0086490E">
        <w:tc>
          <w:tcPr>
            <w:tcW w:w="245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Ծրագրի հիմնական գործողությունները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Մանկապարտեզներում լրացուցիչ  խմբերի  թվի ավելացում/ որտեղ տարածքը թույլ է տալիս/ </w:t>
            </w:r>
          </w:p>
          <w:p w:rsidR="005153FC" w:rsidRPr="003D1CCC" w:rsidRDefault="005153FC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Շենքային պայմանների հարմարեցում հատուկ կարիքներ ունեցող երեխաների</w:t>
            </w:r>
            <w:r w:rsid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ն/շարժական  թեքահարթակների ձեռք</w:t>
            </w: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բերում, տեղադրում/</w:t>
            </w:r>
          </w:p>
          <w:p w:rsidR="005153FC" w:rsidRPr="003D1CCC" w:rsidRDefault="005153FC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Մանկապարտեզների նյութատեխնիկական բազայի վերազինում/ արտթերապիայի նյութեր,  դիդակտիկ պարագաներ և այլն/</w:t>
            </w:r>
          </w:p>
          <w:p w:rsidR="005153FC" w:rsidRPr="003D1CCC" w:rsidRDefault="005153FC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/>
                <w:color w:val="000000"/>
                <w:sz w:val="22"/>
                <w:szCs w:val="22"/>
                <w:lang w:val="af-ZA"/>
              </w:rPr>
            </w:pPr>
            <w:r w:rsidRPr="003D1CCC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>Ծառայությունների  ընդլայնում</w:t>
            </w:r>
            <w:r w:rsidR="003D1CCC">
              <w:rPr>
                <w:rFonts w:ascii="Sylfaen" w:hAnsi="Sylfaen"/>
                <w:color w:val="000000"/>
                <w:sz w:val="22"/>
                <w:szCs w:val="22"/>
                <w:lang w:val="af-ZA"/>
              </w:rPr>
              <w:t xml:space="preserve">՝ </w:t>
            </w:r>
            <w:r w:rsidRPr="003D1CCC"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հատուկ կարիքներ ունեցող երեխաների համար ևս</w:t>
            </w:r>
          </w:p>
          <w:p w:rsidR="005153FC" w:rsidRPr="003D1CCC" w:rsidRDefault="005153FC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Ճկուն  զեղչային համակարգի կիրառում ՝ ընտանիքի կարիքից ելնելով</w:t>
            </w:r>
          </w:p>
          <w:p w:rsidR="005153FC" w:rsidRPr="003D1CCC" w:rsidRDefault="005153FC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lastRenderedPageBreak/>
              <w:t>Լրացուցիչ ժամանակահատվածով՝ 17:00-ից հետո երեխաների խմբեր</w:t>
            </w:r>
            <w:r w:rsid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ի</w:t>
            </w: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ձևավորում /աշխատող ծնողների երեխաների համար/</w:t>
            </w:r>
          </w:p>
          <w:p w:rsidR="005153FC" w:rsidRPr="003D1CCC" w:rsidRDefault="005153FC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Ժամը  17:00-ից հետո երեխաների հետ աշխատող մասնագետներ</w:t>
            </w:r>
          </w:p>
        </w:tc>
      </w:tr>
      <w:tr w:rsidR="005153FC" w:rsidRPr="003D1CCC" w:rsidTr="0086490E">
        <w:tc>
          <w:tcPr>
            <w:tcW w:w="245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lastRenderedPageBreak/>
              <w:t>Ծրագրի բյուջեն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eastAsia="Times New Roman" w:hAnsi="Sylfaen"/>
                <w:color w:val="000000"/>
                <w:lang w:val="hy-AM" w:eastAsia="ru-RU"/>
              </w:rPr>
              <w:t>12</w:t>
            </w:r>
            <w:r w:rsidR="003D1CCC">
              <w:rPr>
                <w:rFonts w:ascii="Sylfaen" w:eastAsia="Times New Roman" w:hAnsi="Sylfaen"/>
                <w:color w:val="000000"/>
                <w:lang w:val="af-ZA" w:eastAsia="ru-RU"/>
              </w:rPr>
              <w:t xml:space="preserve"> մլն </w:t>
            </w:r>
            <w:r w:rsidRPr="003D1CCC">
              <w:rPr>
                <w:rFonts w:ascii="Sylfaen" w:eastAsia="Times New Roman" w:hAnsi="Sylfaen"/>
                <w:color w:val="000000"/>
                <w:lang w:val="af-ZA" w:eastAsia="ru-RU"/>
              </w:rPr>
              <w:t xml:space="preserve"> դրամ</w:t>
            </w:r>
          </w:p>
        </w:tc>
      </w:tr>
      <w:tr w:rsidR="005153FC" w:rsidRPr="003D1CCC" w:rsidTr="0086490E">
        <w:tc>
          <w:tcPr>
            <w:tcW w:w="245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Ծրագրի իրականացման համար անհրաժեշտ այլ ռեսուրսներ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Cs w:val="24"/>
                <w:lang w:val="hy-AM"/>
              </w:rPr>
            </w:pPr>
            <w:r w:rsidRPr="003D1CCC">
              <w:rPr>
                <w:rFonts w:ascii="Sylfaen" w:hAnsi="Sylfaen"/>
                <w:szCs w:val="24"/>
                <w:lang w:val="hy-AM"/>
              </w:rPr>
              <w:t>Շենքային պայմաններ, գույք, պարագաներ</w:t>
            </w:r>
          </w:p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153FC" w:rsidRPr="00CE5476" w:rsidTr="0086490E">
        <w:tc>
          <w:tcPr>
            <w:tcW w:w="245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Ծրագրի հիմնական ռիսկերը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Cs w:val="24"/>
                <w:lang w:val="hy-AM"/>
              </w:rPr>
            </w:pPr>
            <w:r w:rsidRPr="003D1CCC">
              <w:rPr>
                <w:rFonts w:ascii="Sylfaen" w:hAnsi="Sylfaen"/>
                <w:szCs w:val="24"/>
                <w:lang w:val="hy-AM"/>
              </w:rPr>
              <w:t>Աշախատող ծնողների գրաֆիկի հետ հարմարեցում</w:t>
            </w:r>
          </w:p>
        </w:tc>
      </w:tr>
      <w:tr w:rsidR="005153FC" w:rsidRPr="003D1CCC" w:rsidTr="0086490E">
        <w:tc>
          <w:tcPr>
            <w:tcW w:w="245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 xml:space="preserve">Ծրագրի հիմնական շահառուները 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Cs w:val="24"/>
                <w:lang w:val="hy-AM"/>
              </w:rPr>
              <w:t>0-6 տարեկան երեխաներ</w:t>
            </w:r>
          </w:p>
        </w:tc>
      </w:tr>
      <w:tr w:rsidR="005153FC" w:rsidRPr="003D1CCC" w:rsidTr="0086490E">
        <w:tc>
          <w:tcPr>
            <w:tcW w:w="245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 xml:space="preserve">Ծրագրի սկիզբ և ավարտ 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3D1CCC">
              <w:rPr>
                <w:rFonts w:ascii="Sylfaen" w:hAnsi="Sylfaen"/>
                <w:szCs w:val="24"/>
                <w:lang w:val="hy-AM"/>
              </w:rPr>
              <w:t>2021-2026</w:t>
            </w:r>
          </w:p>
        </w:tc>
      </w:tr>
      <w:tr w:rsidR="005153FC" w:rsidRPr="00CE5476" w:rsidTr="0086490E">
        <w:trPr>
          <w:trHeight w:val="1974"/>
        </w:trPr>
        <w:tc>
          <w:tcPr>
            <w:tcW w:w="2454" w:type="dxa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sz w:val="24"/>
                <w:szCs w:val="24"/>
                <w:lang w:val="af-ZA"/>
              </w:rPr>
              <w:t>Ծրագրի համառոտ նկարագրություն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5153FC" w:rsidRPr="003D1CCC" w:rsidRDefault="005153FC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3D1CCC">
              <w:rPr>
                <w:rFonts w:ascii="Sylfaen" w:hAnsi="Sylfaen"/>
                <w:bCs/>
                <w:lang w:val="hy-AM"/>
              </w:rPr>
              <w:t>Գյումրիում գործում է 24 մանկապարտեզ, 10-ը</w:t>
            </w:r>
            <w:r w:rsidR="003D1CCC">
              <w:rPr>
                <w:rFonts w:ascii="Sylfaen" w:hAnsi="Sylfaen"/>
                <w:bCs/>
              </w:rPr>
              <w:t>՝</w:t>
            </w:r>
            <w:r w:rsidR="003D1CCC" w:rsidRPr="003D1CCC">
              <w:rPr>
                <w:rFonts w:ascii="Sylfaen" w:hAnsi="Sylfaen"/>
                <w:bCs/>
                <w:lang w:val="af-ZA"/>
              </w:rPr>
              <w:t xml:space="preserve"> 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2-6 տարեկան, 14-ը՝ 3-6 տարեկան երեխաների  համար: Մանկապարտեզներ է հաճախում 2100 երեխա: Մանկապարտեզներն աշխատում են</w:t>
            </w:r>
            <w:r w:rsidR="003D1CCC">
              <w:rPr>
                <w:rFonts w:ascii="Sylfaen" w:hAnsi="Sylfaen"/>
                <w:bCs/>
                <w:lang w:val="hy-AM"/>
              </w:rPr>
              <w:t xml:space="preserve"> 09:00-</w:t>
            </w:r>
            <w:r w:rsidRPr="003D1CCC">
              <w:rPr>
                <w:rFonts w:ascii="Sylfaen" w:hAnsi="Sylfaen"/>
                <w:bCs/>
                <w:lang w:val="hy-AM"/>
              </w:rPr>
              <w:t>17:00-</w:t>
            </w:r>
            <w:r w:rsidR="003D1CCC">
              <w:rPr>
                <w:rFonts w:ascii="Sylfaen" w:hAnsi="Sylfaen"/>
                <w:bCs/>
              </w:rPr>
              <w:t>ն</w:t>
            </w:r>
            <w:r w:rsidRPr="003D1CCC">
              <w:rPr>
                <w:rFonts w:ascii="Sylfaen" w:hAnsi="Sylfaen"/>
                <w:bCs/>
                <w:lang w:val="hy-AM"/>
              </w:rPr>
              <w:t>: Վարձավճարը 8000</w:t>
            </w:r>
            <w:r w:rsidR="003D1CCC" w:rsidRPr="003D1CCC">
              <w:rPr>
                <w:rFonts w:ascii="Sylfaen" w:hAnsi="Sylfaen"/>
                <w:bCs/>
                <w:lang w:val="af-ZA"/>
              </w:rPr>
              <w:t xml:space="preserve"> </w:t>
            </w:r>
            <w:r w:rsidR="003D1CCC">
              <w:rPr>
                <w:rFonts w:ascii="Sylfaen" w:hAnsi="Sylfaen"/>
                <w:bCs/>
                <w:lang w:val="af-ZA"/>
              </w:rPr>
              <w:t>(</w:t>
            </w:r>
            <w:r w:rsidR="003D1CCC">
              <w:rPr>
                <w:rFonts w:ascii="Sylfaen" w:hAnsi="Sylfaen"/>
                <w:bCs/>
              </w:rPr>
              <w:t>ութ</w:t>
            </w:r>
            <w:r w:rsidR="003D1CCC" w:rsidRPr="003D1CCC">
              <w:rPr>
                <w:rFonts w:ascii="Sylfaen" w:hAnsi="Sylfaen"/>
                <w:bCs/>
                <w:lang w:val="af-ZA"/>
              </w:rPr>
              <w:t xml:space="preserve"> </w:t>
            </w:r>
            <w:r w:rsidR="003D1CCC">
              <w:rPr>
                <w:rFonts w:ascii="Sylfaen" w:hAnsi="Sylfaen"/>
                <w:bCs/>
              </w:rPr>
              <w:t>հազար</w:t>
            </w:r>
            <w:r w:rsidR="003D1CCC" w:rsidRPr="003D1CCC">
              <w:rPr>
                <w:rFonts w:ascii="Sylfaen" w:hAnsi="Sylfaen"/>
                <w:bCs/>
                <w:lang w:val="af-ZA"/>
              </w:rPr>
              <w:t>)</w:t>
            </w:r>
            <w:r w:rsidR="003D1CCC">
              <w:rPr>
                <w:rFonts w:ascii="Sylfaen" w:hAnsi="Sylfaen"/>
                <w:bCs/>
                <w:lang w:val="af-ZA"/>
              </w:rPr>
              <w:t xml:space="preserve"> 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դրամ է, կիրառվում են զեղչեր: </w:t>
            </w:r>
          </w:p>
          <w:p w:rsidR="005153FC" w:rsidRPr="003D1CCC" w:rsidRDefault="005153FC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3D1CCC">
              <w:rPr>
                <w:rFonts w:ascii="Sylfaen" w:hAnsi="Sylfaen"/>
                <w:bCs/>
                <w:lang w:val="hy-AM"/>
              </w:rPr>
              <w:t xml:space="preserve">Կան մանկապարտեզներ, որոնք ունեն ջեռուցման խնդիրներ: </w:t>
            </w:r>
            <w:r w:rsidR="003D1CCC">
              <w:rPr>
                <w:rFonts w:ascii="Sylfaen" w:hAnsi="Sylfaen"/>
                <w:bCs/>
                <w:lang w:val="hy-AM"/>
              </w:rPr>
              <w:t>Մսուրայ</w:t>
            </w:r>
            <w:r w:rsidRPr="003D1CCC">
              <w:rPr>
                <w:rFonts w:ascii="Sylfaen" w:hAnsi="Sylfaen"/>
                <w:bCs/>
                <w:lang w:val="hy-AM"/>
              </w:rPr>
              <w:t>ին տարիքի երախաների համար մանկապարտեզներն ավելի անհասանելի են:   Մա</w:t>
            </w:r>
            <w:r w:rsidR="003D1CCC" w:rsidRPr="003D1CCC">
              <w:rPr>
                <w:rFonts w:ascii="Sylfaen" w:hAnsi="Sylfaen"/>
                <w:bCs/>
                <w:lang w:val="hy-AM"/>
              </w:rPr>
              <w:t>ն</w:t>
            </w:r>
            <w:r w:rsidRPr="003D1CCC">
              <w:rPr>
                <w:rFonts w:ascii="Sylfaen" w:hAnsi="Sylfaen"/>
                <w:bCs/>
                <w:lang w:val="hy-AM"/>
              </w:rPr>
              <w:t xml:space="preserve">կապարտեզների գերծանրաբեռնվածության պատճառով 0-6 տարեկան թվով  5600 երեխա դուրս է մնում </w:t>
            </w:r>
            <w:r w:rsidR="00521B8E" w:rsidRPr="003D1CCC">
              <w:rPr>
                <w:rFonts w:ascii="Sylfaen" w:hAnsi="Sylfaen"/>
                <w:bCs/>
                <w:lang w:val="hy-AM"/>
              </w:rPr>
              <w:t>նախակրթությունից:</w:t>
            </w:r>
          </w:p>
          <w:p w:rsidR="005153FC" w:rsidRPr="003D1CCC" w:rsidRDefault="005153FC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3D1CCC">
              <w:rPr>
                <w:rFonts w:ascii="Sylfaen" w:hAnsi="Sylfaen"/>
                <w:bCs/>
                <w:lang w:val="hy-AM"/>
              </w:rPr>
              <w:t>Չնայած համայնքում գործում են նաև մասնավոր մանկապարտեզներ, որոնց վարձավճարը անհամեմատ բարձր է, այնուամենայնիվ</w:t>
            </w:r>
            <w:r w:rsidR="003D1CCC" w:rsidRPr="003D1CCC">
              <w:rPr>
                <w:rFonts w:ascii="Sylfaen" w:hAnsi="Sylfaen"/>
                <w:bCs/>
                <w:lang w:val="hy-AM"/>
              </w:rPr>
              <w:t>,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 ոչ բոլորին </w:t>
            </w:r>
            <w:r w:rsidR="003D1CCC" w:rsidRPr="003D1CCC">
              <w:rPr>
                <w:rFonts w:ascii="Sylfaen" w:hAnsi="Sylfaen"/>
                <w:bCs/>
                <w:lang w:val="hy-AM"/>
              </w:rPr>
              <w:t>են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հասանելի և ստուգված </w:t>
            </w:r>
            <w:r w:rsidR="003D1CCC">
              <w:rPr>
                <w:rFonts w:ascii="Sylfaen" w:hAnsi="Sylfaen"/>
                <w:bCs/>
                <w:lang w:val="hy-AM"/>
              </w:rPr>
              <w:t>չ</w:t>
            </w:r>
            <w:r w:rsidR="003D1CCC" w:rsidRPr="003D1CCC">
              <w:rPr>
                <w:rFonts w:ascii="Sylfaen" w:hAnsi="Sylfaen"/>
                <w:bCs/>
                <w:lang w:val="hy-AM"/>
              </w:rPr>
              <w:t xml:space="preserve">է 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նրանց կողմից մատուցվող </w:t>
            </w:r>
            <w:r w:rsidR="003D1CCC">
              <w:rPr>
                <w:rFonts w:ascii="Sylfaen" w:hAnsi="Sylfaen"/>
                <w:bCs/>
                <w:lang w:val="hy-AM"/>
              </w:rPr>
              <w:t>ծառայությ</w:t>
            </w:r>
            <w:r w:rsidR="003D1CCC" w:rsidRPr="003D1CCC">
              <w:rPr>
                <w:rFonts w:ascii="Sylfaen" w:hAnsi="Sylfaen"/>
                <w:bCs/>
                <w:lang w:val="hy-AM"/>
              </w:rPr>
              <w:t>ան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որակը:</w:t>
            </w:r>
          </w:p>
          <w:p w:rsidR="005153FC" w:rsidRPr="003D1CCC" w:rsidRDefault="005153FC" w:rsidP="00521B8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3D1CCC">
              <w:rPr>
                <w:rFonts w:ascii="Sylfaen" w:hAnsi="Sylfaen"/>
                <w:bCs/>
                <w:lang w:val="hy-AM"/>
              </w:rPr>
              <w:t xml:space="preserve">Մանկապարտեզ չհաճախելու հետևանքով դեպի դպրոց անցումը խնդրահարույց </w:t>
            </w:r>
            <w:r w:rsidR="00521B8E" w:rsidRPr="00521B8E">
              <w:rPr>
                <w:rFonts w:ascii="Sylfaen" w:hAnsi="Sylfaen"/>
                <w:bCs/>
                <w:lang w:val="hy-AM"/>
              </w:rPr>
              <w:t xml:space="preserve">և 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բարդ է</w:t>
            </w:r>
            <w:r w:rsidR="00521B8E" w:rsidRPr="00521B8E">
              <w:rPr>
                <w:rFonts w:ascii="Sylfaen" w:hAnsi="Sylfaen"/>
                <w:bCs/>
                <w:lang w:val="hy-AM"/>
              </w:rPr>
              <w:t>:</w:t>
            </w:r>
            <w:r w:rsidRPr="003D1CCC">
              <w:rPr>
                <w:rFonts w:ascii="Sylfaen" w:hAnsi="Sylfaen"/>
                <w:bCs/>
                <w:lang w:val="hy-AM"/>
              </w:rPr>
              <w:t xml:space="preserve">  Հատուկ կարիքներ ունեցող երեխաները  դուրս են մնում նախակրթությունից:</w:t>
            </w:r>
          </w:p>
        </w:tc>
      </w:tr>
    </w:tbl>
    <w:p w:rsidR="005153FC" w:rsidRPr="003D1CCC" w:rsidRDefault="005153FC" w:rsidP="005153FC">
      <w:pPr>
        <w:rPr>
          <w:rFonts w:ascii="Sylfaen" w:hAnsi="Sylfaen"/>
          <w:sz w:val="24"/>
          <w:szCs w:val="24"/>
          <w:lang w:val="hy-AM"/>
        </w:rPr>
      </w:pPr>
    </w:p>
    <w:sectPr w:rsidR="005153FC" w:rsidRPr="003D1CCC" w:rsidSect="00E002C3">
      <w:pgSz w:w="12240" w:h="15840"/>
      <w:pgMar w:top="426" w:right="9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Matenagir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B7A8F"/>
    <w:multiLevelType w:val="hybridMultilevel"/>
    <w:tmpl w:val="F5660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459EF"/>
    <w:multiLevelType w:val="hybridMultilevel"/>
    <w:tmpl w:val="064A9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E7170"/>
    <w:multiLevelType w:val="hybridMultilevel"/>
    <w:tmpl w:val="26F017C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5A4E1DDB"/>
    <w:multiLevelType w:val="hybridMultilevel"/>
    <w:tmpl w:val="F1F00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153FC"/>
    <w:rsid w:val="000138A9"/>
    <w:rsid w:val="003D1CCC"/>
    <w:rsid w:val="005153FC"/>
    <w:rsid w:val="00516DE8"/>
    <w:rsid w:val="00521B8E"/>
    <w:rsid w:val="00B454D7"/>
    <w:rsid w:val="00CE5476"/>
    <w:rsid w:val="00DD5537"/>
    <w:rsid w:val="00F66E28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FC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153FC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53F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34"/>
    <w:qFormat/>
    <w:rsid w:val="005153F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34"/>
    <w:rsid w:val="005153F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2022-09-07T13:53:00Z</cp:lastPrinted>
  <dcterms:created xsi:type="dcterms:W3CDTF">2022-09-07T13:54:00Z</dcterms:created>
  <dcterms:modified xsi:type="dcterms:W3CDTF">2022-09-07T13:54:00Z</dcterms:modified>
</cp:coreProperties>
</file>